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 w:cs="宋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附件1</w:t>
      </w:r>
    </w:p>
    <w:p>
      <w:pPr>
        <w:spacing w:before="156"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2023年上半年度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学雷锋志愿服务</w:t>
      </w:r>
    </w:p>
    <w:p>
      <w:pPr>
        <w:spacing w:after="156" w:afterLines="50" w:line="600" w:lineRule="exact"/>
        <w:jc w:val="center"/>
        <w:rPr>
          <w:rFonts w:hint="eastAsia" w:ascii="创艺简标宋" w:eastAsia="创艺简标宋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“四个10”优秀典型推报任务分配表</w:t>
      </w:r>
    </w:p>
    <w:bookmarkEnd w:id="0"/>
    <w:tbl>
      <w:tblPr>
        <w:tblStyle w:val="2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772"/>
        <w:gridCol w:w="1772"/>
        <w:gridCol w:w="177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8"/>
                <w:szCs w:val="28"/>
              </w:rPr>
              <w:t>最美志愿者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最佳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服务组织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最佳志愿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服务项目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最美志愿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上派镇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三河镇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严店镇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丰乐镇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花岗镇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柿树岗乡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山南镇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铭传乡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紫蓬镇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官亭镇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高店镇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桃花镇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最美志愿者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最佳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服务组织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最佳志愿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服务项目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最美志愿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zh-CN"/>
              </w:rPr>
              <w:t>服务社区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紫蓬山管委会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肥西经开区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柏堰科技园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</w:trPr>
        <w:tc>
          <w:tcPr>
            <w:tcW w:w="8989" w:type="dxa"/>
            <w:gridSpan w:val="5"/>
            <w:noWrap w:val="0"/>
            <w:vAlign w:val="center"/>
          </w:tcPr>
          <w:p>
            <w:pPr>
              <w:spacing w:line="200" w:lineRule="exact"/>
              <w:ind w:left="818" w:hanging="843" w:hangingChars="30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备注：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县委宣传部、县文旅局、县教体局、县卫健委、县科协、县司法局、县生态环境分局、县农业农村局（县乡村振兴局）、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县妇联、团县委、县总工会、县民政局、县残联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、县交通局、县公安局等单位在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最美志愿者、最佳志愿服务组织、最佳志愿服务项目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中任选两项进行推报，其他县直单位积极推报。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hint="eastAsia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03563EA2"/>
    <w:rsid w:val="035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2023-08-03T09:28:00Z</dcterms:created>
  <dc:creator>苏铭</dc:creator>
  <cp:lastModifiedBy>苏铭</cp:lastModifiedBy>
  <dcterms:modified xsi:type="dcterms:W3CDTF">2023-08-03T09:28:27Z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A3C4838D542D41AFAD7ED858784D3097_11</vt:lpwstr>
  </property>
</Properties>
</file>